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79C" w:rsidRPr="007C4A59" w:rsidRDefault="002A279C" w:rsidP="007C4A59">
      <w:pPr>
        <w:shd w:val="clear" w:color="auto" w:fill="F94A29"/>
        <w:spacing w:after="0" w:line="276" w:lineRule="auto"/>
        <w:jc w:val="center"/>
        <w:rPr>
          <w:rFonts w:ascii="Century Gothic" w:hAnsi="Century Gothic"/>
          <w:b/>
          <w:bCs/>
          <w:color w:val="FFFFFF" w:themeColor="background1"/>
          <w:sz w:val="36"/>
          <w:szCs w:val="36"/>
        </w:rPr>
      </w:pPr>
      <w:r w:rsidRPr="007C4A59">
        <w:rPr>
          <w:rFonts w:ascii="Century Gothic" w:hAnsi="Century Gothic"/>
          <w:b/>
          <w:bCs/>
          <w:color w:val="FFFFFF" w:themeColor="background1"/>
          <w:sz w:val="36"/>
          <w:szCs w:val="36"/>
        </w:rPr>
        <w:t>RATIO ANALYSIS</w:t>
      </w:r>
    </w:p>
    <w:p w:rsidR="00CA1155" w:rsidRPr="00CA1155" w:rsidRDefault="00CA1155" w:rsidP="00CA115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W w:w="5000" w:type="pc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1"/>
        <w:gridCol w:w="3599"/>
      </w:tblGrid>
      <w:tr w:rsidR="002A279C" w:rsidRPr="00CA1155" w:rsidTr="00641A7C">
        <w:trPr>
          <w:trHeight w:val="576"/>
        </w:trPr>
        <w:tc>
          <w:tcPr>
            <w:tcW w:w="3215" w:type="pct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F94A29"/>
            <w:noWrap/>
            <w:vAlign w:val="center"/>
            <w:hideMark/>
          </w:tcPr>
          <w:p w:rsidR="002A279C" w:rsidRPr="00641A7C" w:rsidRDefault="002A279C" w:rsidP="009E350E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  <w:r w:rsidRPr="00641A7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Particulars</w:t>
            </w:r>
          </w:p>
        </w:tc>
        <w:tc>
          <w:tcPr>
            <w:tcW w:w="1785" w:type="pct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F94A29"/>
            <w:noWrap/>
            <w:vAlign w:val="center"/>
            <w:hideMark/>
          </w:tcPr>
          <w:p w:rsidR="002A279C" w:rsidRPr="00641A7C" w:rsidRDefault="002A279C" w:rsidP="009E350E">
            <w:pPr>
              <w:spacing w:after="0"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  <w:r w:rsidRPr="00641A7C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kern w:val="0"/>
                <w:sz w:val="28"/>
                <w:szCs w:val="28"/>
                <w14:ligatures w14:val="none"/>
              </w:rPr>
              <w:t>Amount (in millions)</w:t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Total Sales</w:t>
            </w:r>
          </w:p>
        </w:tc>
        <w:tc>
          <w:tcPr>
            <w:tcW w:w="17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0" w:name="Text1"/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0"/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noWrap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COGS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noWrap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EBIT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noWrap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EBITDA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noWrap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Interest Expense</w:t>
            </w:r>
          </w:p>
        </w:tc>
        <w:tc>
          <w:tcPr>
            <w:tcW w:w="1785" w:type="pct"/>
            <w:shd w:val="clear" w:color="auto" w:fill="auto"/>
            <w:noWrap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Net Income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Total Debt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Total Assets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Net Fixed Assets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Total Equity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Current Assets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Current Liabilities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Cash &amp; Cash Equivalents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 xml:space="preserve">Accounts Receivable 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Inventories</w:t>
            </w:r>
          </w:p>
        </w:tc>
        <w:tc>
          <w:tcPr>
            <w:tcW w:w="1785" w:type="pct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766AA3" w:rsidRPr="00CA1155" w:rsidTr="00766AA3">
        <w:trPr>
          <w:trHeight w:val="432"/>
        </w:trPr>
        <w:tc>
          <w:tcPr>
            <w:tcW w:w="3215" w:type="pct"/>
            <w:tcBorders>
              <w:top w:val="single" w:sz="2" w:space="0" w:color="BFBFBF" w:themeColor="background1" w:themeShade="BF"/>
              <w:bottom w:val="single" w:sz="18" w:space="0" w:color="F94A29"/>
            </w:tcBorders>
            <w:shd w:val="clear" w:color="auto" w:fill="auto"/>
            <w:vAlign w:val="center"/>
            <w:hideMark/>
          </w:tcPr>
          <w:p w:rsidR="00766AA3" w:rsidRPr="002A279C" w:rsidRDefault="00766AA3" w:rsidP="00766AA3">
            <w:pPr>
              <w:spacing w:after="0" w:line="276" w:lineRule="auto"/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pPr>
            <w:r w:rsidRPr="002A279C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t>Accounts Payable</w:t>
            </w:r>
          </w:p>
        </w:tc>
        <w:tc>
          <w:tcPr>
            <w:tcW w:w="1785" w:type="pct"/>
            <w:tcBorders>
              <w:top w:val="single" w:sz="2" w:space="0" w:color="BFBFBF" w:themeColor="background1" w:themeShade="BF"/>
              <w:bottom w:val="single" w:sz="18" w:space="0" w:color="F94A29"/>
            </w:tcBorders>
            <w:shd w:val="clear" w:color="auto" w:fill="auto"/>
            <w:vAlign w:val="center"/>
            <w:hideMark/>
          </w:tcPr>
          <w:p w:rsidR="00766AA3" w:rsidRDefault="00766AA3" w:rsidP="00766AA3">
            <w:pPr>
              <w:spacing w:after="0"/>
            </w:pP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1D7A3E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:sz w:val="20"/>
                <w:szCs w:val="20"/>
                <w14:ligatures w14:val="none"/>
              </w:rPr>
              <w:t>[Amount]</w:t>
            </w:r>
            <w:r w:rsidRPr="001D7A3E">
              <w:rPr>
                <w:rFonts w:ascii="Century Gothic" w:eastAsia="Times New Roman" w:hAnsi="Century Gothic" w:cs="Calibri"/>
                <w:color w:val="000000" w:themeColor="text1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:rsidR="009E350E" w:rsidRPr="009E350E" w:rsidRDefault="00CA1155" w:rsidP="00CA1155">
      <w:pPr>
        <w:spacing w:after="0" w:line="276" w:lineRule="auto"/>
        <w:rPr>
          <w:rFonts w:ascii="Century Gothic" w:hAnsi="Century Gothic"/>
          <w:b/>
          <w:bCs/>
        </w:rPr>
      </w:pPr>
      <w:r w:rsidRPr="00CA1155">
        <w:rPr>
          <w:rFonts w:ascii="Century Gothic" w:hAnsi="Century Gothic"/>
        </w:rPr>
        <w:br/>
      </w:r>
      <w:r w:rsidR="009E350E" w:rsidRPr="00F236B4">
        <w:rPr>
          <w:rFonts w:ascii="Century Gothic" w:hAnsi="Century Gothic"/>
          <w:b/>
          <w:bCs/>
          <w:color w:val="F94A29"/>
          <w:sz w:val="28"/>
          <w:szCs w:val="28"/>
        </w:rPr>
        <w:t>Calculated formula:</w:t>
      </w:r>
      <w:r w:rsidR="002444F3">
        <w:rPr>
          <w:rFonts w:ascii="Century Gothic" w:hAnsi="Century Gothic"/>
          <w:b/>
          <w:bCs/>
          <w:sz w:val="28"/>
          <w:szCs w:val="28"/>
        </w:rPr>
        <w:br/>
      </w:r>
    </w:p>
    <w:tbl>
      <w:tblPr>
        <w:tblStyle w:val="TableGrid"/>
        <w:tblW w:w="0" w:type="auto"/>
        <w:tblBorders>
          <w:top w:val="single" w:sz="12" w:space="0" w:color="F94A29"/>
          <w:left w:val="none" w:sz="0" w:space="0" w:color="auto"/>
          <w:bottom w:val="single" w:sz="12" w:space="0" w:color="F94A29"/>
          <w:right w:val="none" w:sz="0" w:space="0" w:color="auto"/>
          <w:insideH w:val="single" w:sz="12" w:space="0" w:color="F94A29"/>
          <w:insideV w:val="single" w:sz="12" w:space="0" w:color="F94A29"/>
        </w:tblBorders>
        <w:tblLook w:val="04A0" w:firstRow="1" w:lastRow="0" w:firstColumn="1" w:lastColumn="0" w:noHBand="0" w:noVBand="1"/>
      </w:tblPr>
      <w:tblGrid>
        <w:gridCol w:w="8130"/>
        <w:gridCol w:w="1940"/>
      </w:tblGrid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B4339">
              <w:rPr>
                <w:rFonts w:ascii="Century Gothic" w:hAnsi="Century Gothic"/>
                <w:b/>
                <w:bCs/>
              </w:rPr>
              <w:t>Current Ratio</w:t>
            </w:r>
            <w:r w:rsidRPr="009B4339"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</w:rPr>
              <w:t xml:space="preserve">  </w:t>
            </w:r>
            <w:r w:rsidRPr="009B4339">
              <w:rPr>
                <w:rFonts w:ascii="Century Gothic" w:hAnsi="Century Gothic"/>
              </w:rPr>
              <w:t>Current Assets / Current Liabilities</w:t>
            </w:r>
            <w:r w:rsidRPr="009B4339">
              <w:rPr>
                <w:rFonts w:ascii="Century Gothic" w:hAnsi="Century Gothic"/>
              </w:rPr>
              <w:tab/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2444F3">
              <w:rPr>
                <w:rFonts w:ascii="Century Gothic" w:hAnsi="Century Gothic"/>
                <w:b/>
                <w:bCs/>
              </w:rPr>
              <w:t>Quick Ratio</w:t>
            </w:r>
            <w:r w:rsidRPr="009B4339">
              <w:rPr>
                <w:rFonts w:ascii="Century Gothic" w:hAnsi="Century Gothic"/>
              </w:rPr>
              <w:t xml:space="preserve"> = </w:t>
            </w:r>
            <w:r w:rsidRPr="002444F3">
              <w:rPr>
                <w:rFonts w:ascii="Century Gothic" w:hAnsi="Century Gothic"/>
                <w:sz w:val="20"/>
                <w:szCs w:val="20"/>
              </w:rPr>
              <w:t>(Cash &amp; Cash Equivalents + Accounts Receivables) / Current Liabilities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Cash Ratio</w:t>
            </w:r>
            <w:r w:rsidRPr="009B4339">
              <w:rPr>
                <w:rFonts w:ascii="Century Gothic" w:hAnsi="Century Gothic"/>
              </w:rPr>
              <w:t xml:space="preserve"> = Cash &amp; Cash Equivalents / Current Liabilities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lastRenderedPageBreak/>
              <w:t>Debt to Equity Ratio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Total Debt / Total Equity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Debt Ratio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Total Debt / Total Assets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Interest Coverage Ratio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= EBITDA / Interest Expense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Receivables Turnover Ratio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= Sales / Accounts Receivable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Inventory Turnover Ratio</w:t>
            </w:r>
            <w:r w:rsidRPr="009B4339">
              <w:rPr>
                <w:rFonts w:ascii="Century Gothic" w:hAnsi="Century Gothic"/>
              </w:rPr>
              <w:tab/>
              <w:t>= COGS / Inventories</w:t>
            </w:r>
            <w:r w:rsidRPr="009B4339">
              <w:rPr>
                <w:rFonts w:ascii="Century Gothic" w:hAnsi="Century Gothic"/>
              </w:rPr>
              <w:tab/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Payable Turnover Ratio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COGS / Accounts Payable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Asset Turnover Ratio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Sales / Total Assets</w:t>
            </w:r>
            <w:r w:rsidRPr="009B4339">
              <w:rPr>
                <w:rFonts w:ascii="Century Gothic" w:hAnsi="Century Gothic"/>
              </w:rPr>
              <w:tab/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Net Fixed Asset Turnover Ratio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Sales / Net Fixed Assets</w:t>
            </w:r>
            <w:r w:rsidRPr="009B4339">
              <w:rPr>
                <w:rFonts w:ascii="Century Gothic" w:hAnsi="Century Gothic"/>
              </w:rPr>
              <w:tab/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Equity Turnover Ratio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Sales / Total Equity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Gross Margin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(Sales - COGS) / Sales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Operating Profit Margin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EBIT / Sales</w:t>
            </w:r>
            <w:r w:rsidRPr="009B4339">
              <w:rPr>
                <w:rFonts w:ascii="Century Gothic" w:hAnsi="Century Gothic"/>
              </w:rPr>
              <w:tab/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Net Margin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Net Income / Sales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Return on Total Asset (ROA)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EBIT / Total Assets</w:t>
            </w:r>
            <w:r w:rsidRPr="009B4339">
              <w:rPr>
                <w:rFonts w:ascii="Century Gothic" w:hAnsi="Century Gothic"/>
              </w:rPr>
              <w:tab/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766AA3" w:rsidTr="00766AA3">
        <w:trPr>
          <w:trHeight w:val="864"/>
        </w:trPr>
        <w:tc>
          <w:tcPr>
            <w:tcW w:w="8130" w:type="dxa"/>
            <w:vAlign w:val="center"/>
          </w:tcPr>
          <w:p w:rsidR="00766AA3" w:rsidRPr="009B4339" w:rsidRDefault="00766AA3" w:rsidP="00766AA3">
            <w:pPr>
              <w:spacing w:line="276" w:lineRule="auto"/>
              <w:rPr>
                <w:rFonts w:ascii="Century Gothic" w:hAnsi="Century Gothic"/>
              </w:rPr>
            </w:pPr>
            <w:r w:rsidRPr="00924FB2">
              <w:rPr>
                <w:rFonts w:ascii="Century Gothic" w:hAnsi="Century Gothic"/>
                <w:b/>
                <w:bCs/>
              </w:rPr>
              <w:t>Return on Total Equity (ROE)</w:t>
            </w:r>
            <w:r w:rsidRPr="009B4339">
              <w:rPr>
                <w:rFonts w:ascii="Century Gothic" w:hAnsi="Century Gothic"/>
              </w:rPr>
              <w:t xml:space="preserve"> =</w:t>
            </w:r>
            <w:r>
              <w:rPr>
                <w:rFonts w:ascii="Century Gothic" w:hAnsi="Century Gothic"/>
              </w:rPr>
              <w:t xml:space="preserve"> </w:t>
            </w:r>
            <w:r w:rsidRPr="009B4339">
              <w:rPr>
                <w:rFonts w:ascii="Century Gothic" w:hAnsi="Century Gothic"/>
              </w:rPr>
              <w:t>Net Income / Total Equity</w:t>
            </w:r>
          </w:p>
        </w:tc>
        <w:tc>
          <w:tcPr>
            <w:tcW w:w="1940" w:type="dxa"/>
            <w:vAlign w:val="center"/>
          </w:tcPr>
          <w:p w:rsidR="00766AA3" w:rsidRPr="00766AA3" w:rsidRDefault="00766AA3" w:rsidP="00766AA3"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766AA3">
              <w:rPr>
                <w:rFonts w:ascii="Century Gothic" w:eastAsia="Times New Roman" w:hAnsi="Century Gothic" w:cs="Calibri"/>
                <w:noProof/>
                <w:color w:val="000000" w:themeColor="text1"/>
                <w:kern w:val="0"/>
                <w14:ligatures w14:val="none"/>
              </w:rPr>
              <w:t>[Amount]</w:t>
            </w:r>
            <w:r w:rsidRPr="00766AA3">
              <w:rPr>
                <w:rFonts w:ascii="Century Gothic" w:eastAsia="Times New Roman" w:hAnsi="Century Gothic" w:cs="Calibr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</w:tbl>
    <w:p w:rsidR="002A279C" w:rsidRPr="00CA1155" w:rsidRDefault="002A279C" w:rsidP="00CA1155">
      <w:pPr>
        <w:spacing w:after="0" w:line="276" w:lineRule="auto"/>
        <w:rPr>
          <w:rFonts w:ascii="Century Gothic" w:hAnsi="Century Gothic"/>
        </w:rPr>
      </w:pPr>
    </w:p>
    <w:sectPr w:rsidR="002A279C" w:rsidRPr="00CA1155" w:rsidSect="009E3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1BD" w:rsidRDefault="004221BD" w:rsidP="004221BD">
      <w:pPr>
        <w:spacing w:after="0" w:line="240" w:lineRule="auto"/>
      </w:pPr>
      <w:r>
        <w:separator/>
      </w:r>
    </w:p>
  </w:endnote>
  <w:endnote w:type="continuationSeparator" w:id="0">
    <w:p w:rsidR="004221BD" w:rsidRDefault="004221BD" w:rsidP="0042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1BD" w:rsidRDefault="00422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3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1BD" w:rsidRDefault="004221BD" w:rsidP="004221BD">
            <w:pPr>
              <w:pStyle w:val="Footer"/>
              <w:jc w:val="right"/>
            </w:pPr>
            <w:r w:rsidRPr="003E038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3980DF9" wp14:editId="6B5CEA43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21BD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4221B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221BD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4221B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4221BD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4221B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4221BD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4221B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221BD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4221B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4221BD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4221B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1BD" w:rsidRDefault="0042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1BD" w:rsidRDefault="004221BD" w:rsidP="004221BD">
      <w:pPr>
        <w:spacing w:after="0" w:line="240" w:lineRule="auto"/>
      </w:pPr>
      <w:r>
        <w:separator/>
      </w:r>
    </w:p>
  </w:footnote>
  <w:footnote w:type="continuationSeparator" w:id="0">
    <w:p w:rsidR="004221BD" w:rsidRDefault="004221BD" w:rsidP="0042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1BD" w:rsidRDefault="00422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1BD" w:rsidRDefault="00422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1BD" w:rsidRDefault="00422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9C"/>
    <w:rsid w:val="000778B4"/>
    <w:rsid w:val="00222D08"/>
    <w:rsid w:val="002444F3"/>
    <w:rsid w:val="002A279C"/>
    <w:rsid w:val="004221BD"/>
    <w:rsid w:val="00491D6F"/>
    <w:rsid w:val="00507582"/>
    <w:rsid w:val="00630272"/>
    <w:rsid w:val="00641A7C"/>
    <w:rsid w:val="00722069"/>
    <w:rsid w:val="00766AA3"/>
    <w:rsid w:val="007940A1"/>
    <w:rsid w:val="007C4A59"/>
    <w:rsid w:val="008D6BBE"/>
    <w:rsid w:val="00924FB2"/>
    <w:rsid w:val="009B4339"/>
    <w:rsid w:val="009E350E"/>
    <w:rsid w:val="00CA1155"/>
    <w:rsid w:val="00CD6B93"/>
    <w:rsid w:val="00E63971"/>
    <w:rsid w:val="00E6455B"/>
    <w:rsid w:val="00F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657C"/>
  <w15:chartTrackingRefBased/>
  <w15:docId w15:val="{D2A9ACF2-5632-4D16-8BE0-E189CF8E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BD"/>
  </w:style>
  <w:style w:type="paragraph" w:styleId="Footer">
    <w:name w:val="footer"/>
    <w:basedOn w:val="Normal"/>
    <w:link w:val="FooterChar"/>
    <w:uiPriority w:val="99"/>
    <w:unhideWhenUsed/>
    <w:rsid w:val="0042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1663</Characters>
  <Application>Microsoft Office Word</Application>
  <DocSecurity>0</DocSecurity>
  <Lines>277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2023-05-29T04:26:00Z</dcterms:created>
  <dcterms:modified xsi:type="dcterms:W3CDTF">2023-06-06T11:23:00Z</dcterms:modified>
</cp:coreProperties>
</file>